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jc w:val="center"/>
      </w:pPr>
      <w:r w:rsidRPr="00000000" w:rsidR="00000000" w:rsidDel="00000000">
        <w:rPr>
          <w:b w:val="1"/>
          <w:rtl w:val="0"/>
        </w:rPr>
        <w:t xml:space="preserve">§ 2. Патентные права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1356. Право авторства на изобретение, полезную</w:t>
      </w:r>
    </w:p>
    <w:p w:rsidP="00000000" w:rsidRPr="00000000" w:rsidR="00000000" w:rsidDel="00000000" w:rsidRDefault="00000000">
      <w:pPr>
        <w:spacing w:lineRule="auto" w:line="240"/>
        <w:jc w:val="center"/>
      </w:pPr>
      <w:r w:rsidRPr="00000000" w:rsidR="00000000" w:rsidDel="00000000">
        <w:rPr>
          <w:b w:val="1"/>
          <w:rtl w:val="0"/>
        </w:rPr>
        <w:t xml:space="preserve">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1357. Право на получение патента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1358. Исключительное право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пунктами 2 и 3 настоящей статьи. Патентообладатель может распоряжаться исключительным правом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Использованием изобретения, полезной модели или промышленного образца считается, в частности: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совершение действий, предусмотренных подпунктом 2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осуществление способа, в котором используется изобретение, в частности путем применения этого способа.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статьи.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статьи 1377).</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1359. Действия, не являющиеся нарушением исключительного</w:t>
      </w:r>
    </w:p>
    <w:p w:rsidP="00000000" w:rsidRPr="00000000" w:rsidR="00000000" w:rsidDel="00000000" w:rsidRDefault="00000000">
      <w:pPr>
        <w:spacing w:lineRule="auto" w:line="240"/>
        <w:jc w:val="center"/>
      </w:pPr>
      <w:r w:rsidRPr="00000000" w:rsidR="00000000" w:rsidDel="00000000">
        <w:rPr>
          <w:b w:val="1"/>
          <w:rtl w:val="0"/>
        </w:rPr>
        <w:t xml:space="preserve">права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Не являются нарушением исключительного права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разовое изготовление в аптеках по рецептам врачей лекарственных средств с использованием изобретения;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1360. Использование изобретения, полезной модели или</w:t>
      </w:r>
    </w:p>
    <w:p w:rsidP="00000000" w:rsidRPr="00000000" w:rsidR="00000000" w:rsidDel="00000000" w:rsidRDefault="00000000">
      <w:pPr>
        <w:spacing w:lineRule="auto" w:line="240"/>
        <w:jc w:val="center"/>
      </w:pPr>
      <w:r w:rsidRPr="00000000" w:rsidR="00000000" w:rsidDel="00000000">
        <w:rPr>
          <w:b w:val="1"/>
          <w:rtl w:val="0"/>
        </w:rPr>
        <w:t xml:space="preserve">промышленного образца в интересах национальной безопасности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1361. Право преждепользования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1362. Принудительная лицензия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1363. Сроки действия исключительных прав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двадцать лет - для изобретений;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десять лет - для полезных моделей;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пятнадцать лет - для промышленных образцов.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(статья 1393).</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Порядок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1364. Переход изобретения, полезной модели или</w:t>
      </w:r>
    </w:p>
    <w:p w:rsidP="00000000" w:rsidRPr="00000000" w:rsidR="00000000" w:rsidDel="00000000" w:rsidRDefault="00000000">
      <w:pPr>
        <w:spacing w:lineRule="auto" w:line="240"/>
        <w:jc w:val="center"/>
      </w:pPr>
      <w:r w:rsidRPr="00000000" w:rsidR="00000000" w:rsidDel="00000000">
        <w:rPr>
          <w:b w:val="1"/>
          <w:rtl w:val="0"/>
        </w:rPr>
        <w:t xml:space="preserve">промышленного образца в общественное достояние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По истечении срока действия исключительного права изобретение, полезная модель или промышленный образец переходит в общественное достояние.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Патентные права.docx</dc:title>
</cp:coreProperties>
</file>