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§ 8. Защита прав авторов и патентообладателей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Статья 1406. Споры, связанные с защитой патентных прав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1. Споры, связанные с защитой патентных прав, рассматриваются судом. К таким спорам относятся, в частности, споры: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1) об авторстве изобретения, полезной модели, промышленного образца;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2) об установлении патентообладателя;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3) о нарушении исключительного права на изобретение, полезную модель или промышленный образец;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4) о заключении, об исполнении, об изменении и о прекращении договоров о передаче исключительного права (отчуждении патента) и лицензионных договоров на использование изобретения, полезной модели, промышленного образца;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5) о праве преждепользования;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6) о праве послепользования;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7) о размере, сроке и порядке выплаты вознаграждения автору изобретения, полезной модели или промышленного образца в соответствии с настоящим Кодексом;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8) о размере, сроке и порядке выплаты компенсаций, предусмотренных настоящим Кодексом.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220"/>
        <w:jc w:val="both"/>
      </w:pPr>
      <w:r w:rsidRPr="00000000" w:rsidR="00000000" w:rsidDel="00000000">
        <w:rPr>
          <w:sz w:val="18"/>
          <w:rtl w:val="0"/>
        </w:rPr>
        <w:t xml:space="preserve">2. В случаях, указанных в статьях 1387, 1390, 1391, 1398, 1401 и 1404 настоящего Кодекса, защита патентных прав осуществляется в административном порядке в соответствии с пунктами 2 и 3 статьи 1248 настоящего Кодекса.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jc w:val="center"/>
      </w:pPr>
      <w:r w:rsidRPr="00000000" w:rsidR="00000000" w:rsidDel="00000000">
        <w:rPr>
          <w:b w:val="1"/>
          <w:rtl w:val="0"/>
        </w:rPr>
        <w:t xml:space="preserve">Статья 1407. Публикация решения суда о нарушении патента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z w:val="18"/>
          <w:rtl w:val="0"/>
        </w:rPr>
        <w:t xml:space="preserve">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изобретения, полезной модели, промышленного образца или об ином нарушении его прав.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8. Защита прав авторов и патентообладателей.docx</dc:title>
</cp:coreProperties>
</file>