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jc w:val="center"/>
      </w:pPr>
      <w:r w:rsidRPr="00000000" w:rsidR="00000000" w:rsidDel="00000000">
        <w:rPr>
          <w:b w:val="1"/>
          <w:rtl w:val="0"/>
        </w:rPr>
        <w:t xml:space="preserve">§ 3. Распоряжение исключительным правом на изобретение,</w:t>
      </w:r>
    </w:p>
    <w:p w:rsidP="00000000" w:rsidRPr="00000000" w:rsidR="00000000" w:rsidDel="00000000" w:rsidRDefault="00000000">
      <w:pPr>
        <w:spacing w:lineRule="auto" w:line="240"/>
        <w:jc w:val="center"/>
      </w:pPr>
      <w:r w:rsidRPr="00000000" w:rsidR="00000000" w:rsidDel="00000000">
        <w:rPr>
          <w:b w:val="1"/>
          <w:rtl w:val="0"/>
        </w:rPr>
        <w:t xml:space="preserve">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1365. Договор об отчуждении исключительного права на</w:t>
      </w:r>
    </w:p>
    <w:p w:rsidP="00000000" w:rsidRPr="00000000" w:rsidR="00000000" w:rsidDel="00000000" w:rsidRDefault="00000000">
      <w:pPr>
        <w:spacing w:lineRule="auto" w:line="240"/>
        <w:jc w:val="center"/>
      </w:pPr>
      <w:r w:rsidRPr="00000000" w:rsidR="00000000" w:rsidDel="00000000">
        <w:rPr>
          <w:b w:val="1"/>
          <w:rtl w:val="0"/>
        </w:rPr>
        <w:t xml:space="preserve">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1366. Публичное предложение заключить договор об отчуждении патента на изобретение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Федеральный орган исполнительной власти по интеллектуальной собственности публикует в официальном бюллетене сведения об указанном заявлении.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1367. Лицензионный договор о предоставлении права использования</w:t>
      </w:r>
    </w:p>
    <w:p w:rsidP="00000000" w:rsidRPr="00000000" w:rsidR="00000000" w:rsidDel="00000000" w:rsidRDefault="00000000">
      <w:pPr>
        <w:spacing w:lineRule="auto" w:line="240"/>
        <w:jc w:val="center"/>
      </w:pPr>
      <w:r w:rsidRPr="00000000" w:rsidR="00000000" w:rsidDel="00000000">
        <w:rPr>
          <w:b w:val="1"/>
          <w:rtl w:val="0"/>
        </w:rPr>
        <w:t xml:space="preserve">изобретения, полезной модели или промышленного образца</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w:t>
      </w:r>
    </w:p>
    <w:p w:rsidP="00000000" w:rsidRPr="00000000" w:rsidR="00000000" w:rsidDel="00000000" w:rsidRDefault="00000000">
      <w:pPr>
        <w:spacing w:lineRule="auto" w:line="240"/>
        <w:ind w:firstLine="220"/>
        <w:jc w:val="both"/>
      </w:pPr>
      <w:r w:rsidRPr="00000000" w:rsidR="00000000" w:rsidDel="00000000">
        <w:rPr>
          <w:sz w:val="18"/>
          <w:rtl w:val="0"/>
        </w:rPr>
        <w:t xml:space="preserve">вленных договором пределах.</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1368. Открытая лицензия на изобретение, полезную модель или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ind w:firstLine="220"/>
        <w:jc w:val="both"/>
      </w:pPr>
      <w:r w:rsidRPr="00000000" w:rsidR="00000000" w:rsidDel="00000000">
        <w:rPr>
          <w:sz w:val="18"/>
          <w:rtl w:val="0"/>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Статья 1369. Форма и государственная регистрация договоров о распоряжении</w:t>
      </w:r>
    </w:p>
    <w:p w:rsidP="00000000" w:rsidRPr="00000000" w:rsidR="00000000" w:rsidDel="00000000" w:rsidRDefault="00000000">
      <w:pPr>
        <w:spacing w:lineRule="auto" w:line="240"/>
        <w:jc w:val="center"/>
      </w:pPr>
      <w:r w:rsidRPr="00000000" w:rsidR="00000000" w:rsidDel="00000000">
        <w:rPr>
          <w:b w:val="1"/>
          <w:rtl w:val="0"/>
        </w:rPr>
        <w:t xml:space="preserve">исключительным правом на изобретение, полезную модель и промышленный образец</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rtl w:val="0"/>
        </w:rPr>
        <w:t xml:space="preserve">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        </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Распоряжение исключительным правом на изобретение, полезную модель или промышленный образец.docx</dc:title>
</cp:coreProperties>
</file>