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jc w:val="center"/>
      </w:pPr>
      <w:r w:rsidRPr="00000000" w:rsidR="00000000" w:rsidDel="00000000">
        <w:rPr>
          <w:b w:val="1"/>
          <w:rtl w:val="0"/>
        </w:rPr>
        <w:t xml:space="preserve">Фрагменты  патентного права РФ (для клиентов)</w:t>
      </w:r>
    </w:p>
    <w:p w:rsidP="00000000" w:rsidRPr="00000000" w:rsidR="00000000" w:rsidDel="00000000" w:rsidRDefault="00000000">
      <w:pPr>
        <w:spacing w:lineRule="auto" w:line="240"/>
        <w:jc w:val="center"/>
      </w:pPr>
      <w:r w:rsidRPr="00000000" w:rsidR="00000000" w:rsidDel="00000000">
        <w:rPr>
          <w:b w:val="1"/>
          <w:rtl w:val="0"/>
        </w:rPr>
        <w:t xml:space="preserve">ГК РФ</w:t>
      </w:r>
    </w:p>
    <w:p w:rsidP="00000000" w:rsidRPr="00000000" w:rsidR="00000000" w:rsidDel="00000000" w:rsidRDefault="00000000">
      <w:pPr>
        <w:spacing w:lineRule="auto" w:line="240"/>
        <w:jc w:val="center"/>
      </w:pPr>
      <w:r w:rsidRPr="00000000" w:rsidR="00000000" w:rsidDel="00000000">
        <w:rPr>
          <w:b w:val="1"/>
          <w:rtl w:val="0"/>
        </w:rPr>
        <w:t xml:space="preserve">Статья 1345. Патентные права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Интеллектуальные права на изобретения, полезные модели и промышленные образцы являются патентными правами.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Автору изобретения, полезной модели или промышленного образца принадлежат следующие права: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исключительное право;</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право авторства.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1346. Действие исключительных прав на изобретения, полезные модели</w:t>
      </w:r>
    </w:p>
    <w:p w:rsidP="00000000" w:rsidRPr="00000000" w:rsidR="00000000" w:rsidDel="00000000" w:rsidRDefault="00000000">
      <w:pPr>
        <w:spacing w:lineRule="auto" w:line="240"/>
        <w:jc w:val="center"/>
      </w:pPr>
      <w:r w:rsidRPr="00000000" w:rsidR="00000000" w:rsidDel="00000000">
        <w:rPr>
          <w:b w:val="1"/>
          <w:rtl w:val="0"/>
        </w:rPr>
        <w:t xml:space="preserve">и промышленные образцы на территории Российской Федерации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1347. Автор изобретения, полезной модели или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1348. Соавторы изобретения, полезной модели или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Граждане, создавшие изобретение, полезную модель или промышленный образец совместным творческим трудом, признаются соавторами.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Распоряжение правом на получение патента на изобретение, полезную модель или промышленный образец осуществляется авторами совместно.</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Каждый из соавторов вправе самостоятельно принимать меры по защите своих прав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1349. Объекты патентных прав</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Не могут быть объектами патентных прав:</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способы клонирования человека;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способы модификации генетической целостности клеток зародышевой линии человека;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использование человеческих эмбрионов в промышленных и коммерческих целях;</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иные решения, противоречащие общественным интересам, принципам гуманности и морали.</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1350. Условия патентоспособности изобретения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Изобретению предоставляется правовая охрана, если оно является новым, имеет изобретательский уровень и промышленно применимо.</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Изобретение является новым, если оно не известно из уровня техники.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Изобретение имеет изобретательский уровень, если для специалиста оно явным образом не следует из уровня техники.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Уровень техники включает любые сведения, ставшие общедоступными в мире до даты приоритета изобретения.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Не являются изобретениями: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открытия;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научные теории и математические методы;</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решения, касающиеся только внешнего вида изделий и направленные на удовлетворение эстетических потребностей;</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правила и методы игр, интеллектуальной или хозяйственной деятельности;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программы для ЭВМ;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6) решения, заключающиеся только в представлении информации.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6. Не предоставляется правовая охрана в качестве изобретения: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топологиям интегральных микросхем.</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1351. Условия патентоспособности полезной модели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В качестве полезной модели охраняется техническое решение, относящееся к устройству.</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Полезной модели предоставляется правовая охрана, если она является новой и промышленно применимой.</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Полезная модель является новой, если совокупность ее существенных признаков не известна из уровня техники.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Не предоставляется правовая охрана в качестве полезной модели: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решениям, касающимся только внешнего вида изделий и направленным на удовлетворение эстетических потребностей;</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топологиям интегральных микросхем.</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1352. Условия патентоспособности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Промышленному образцу предоставляется правовая охрана, если по своим существенным признакам он является новым и оригинальным.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статьи 1377), не известна из сведений, ставших общедоступными в мире до даты приоритета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статьи 1394 настоящего Кодекса, и запатентованные в Российской Федерации промышленные образцы.</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Промышленный образец является оригинальным, если его существенные признаки обусловлены творческим характером особенностей изделия.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5. Не предоставляется правовая охрана в качестве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решениям, обусловленным исключительно технической функцией изделия;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объектам архитектуры (кроме малых архитектурных форм), промышленным, гидротехническим и другим стационарным сооружениям;</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объектам неустойчивой формы из жидких, газообразных, сыпучих или им подобных веществ.</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1353. Государственная регистрация изобретений,</w:t>
      </w:r>
    </w:p>
    <w:p w:rsidP="00000000" w:rsidRPr="00000000" w:rsidR="00000000" w:rsidDel="00000000" w:rsidRDefault="00000000">
      <w:pPr>
        <w:spacing w:lineRule="auto" w:line="240"/>
        <w:jc w:val="center"/>
      </w:pPr>
      <w:r w:rsidRPr="00000000" w:rsidR="00000000" w:rsidDel="00000000">
        <w:rPr>
          <w:b w:val="1"/>
          <w:rtl w:val="0"/>
        </w:rPr>
        <w:t xml:space="preserve">полезных моделей и промышленных образцов</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1354. Патент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статьи 1375 и пункт 2 статьи 1376).</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статьи 1377).</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1355. Государственное стимулирование создания и использования</w:t>
      </w:r>
    </w:p>
    <w:p w:rsidP="00000000" w:rsidRPr="00000000" w:rsidR="00000000" w:rsidDel="00000000" w:rsidRDefault="00000000">
      <w:pPr>
        <w:spacing w:lineRule="auto" w:line="240"/>
        <w:jc w:val="center"/>
      </w:pPr>
      <w:r w:rsidRPr="00000000" w:rsidR="00000000" w:rsidDel="00000000">
        <w:rPr>
          <w:b w:val="1"/>
          <w:rtl w:val="0"/>
        </w:rPr>
        <w:t xml:space="preserve">изобретений, полезных моделей и промышленных образцов</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Фрагменты патентного права.docx</dc:title>
</cp:coreProperties>
</file>